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The OpenSAFELY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OpenSAFELY service.  While each GP practice remains the data controller of its own patient data, they are required under the provisions of s259 of the Health and Social Care Act 2012 to provide access to de-identified (pseudonymised) patient data through the OpenSAFELY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 xml:space="preserve">OpenSAFELY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83F74C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4D49C9">
        <w:rPr>
          <w:rFonts w:ascii="Arial" w:hAnsi="Arial" w:cs="Arial"/>
          <w:sz w:val="22"/>
          <w:szCs w:val="22"/>
        </w:rPr>
        <w:t xml:space="preserve">The Family Medical Practice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044EB6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4D49C9">
        <w:rPr>
          <w:rFonts w:ascii="Arial" w:hAnsi="Arial" w:cs="Arial"/>
          <w:bdr w:val="none" w:sz="0" w:space="0" w:color="auto" w:frame="1"/>
          <w:shd w:val="clear" w:color="auto" w:fill="FFFFFF"/>
          <w:lang w:eastAsia="en-GB"/>
        </w:rPr>
        <w:t xml:space="preserve">The Family Medical Practice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25E7B150"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1C4CC8A" w:rsidR="00865613"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4D49C9">
      <w:t>Family</w:t>
    </w:r>
    <w:proofErr w:type="gramEnd"/>
    <w:r w:rsidR="004D49C9">
      <w:t xml:space="preserve"> Medical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865613" w:rsidRDefault="00865613"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D49C9"/>
    <w:rsid w:val="004D5A94"/>
    <w:rsid w:val="005179E9"/>
    <w:rsid w:val="00581445"/>
    <w:rsid w:val="005C0A26"/>
    <w:rsid w:val="006844C4"/>
    <w:rsid w:val="00685BDE"/>
    <w:rsid w:val="0069109A"/>
    <w:rsid w:val="0083424E"/>
    <w:rsid w:val="00865613"/>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KIRK, Moya (SHAHBAZI SS)</cp:lastModifiedBy>
  <cp:revision>2</cp:revision>
  <dcterms:created xsi:type="dcterms:W3CDTF">2023-11-14T17:10:00Z</dcterms:created>
  <dcterms:modified xsi:type="dcterms:W3CDTF">2023-11-14T17:10:00Z</dcterms:modified>
</cp:coreProperties>
</file>